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="7801" w:tblpY="69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571"/>
      </w:tblGrid>
      <w:tr w:rsidR="00290708" w:rsidTr="00290708">
        <w:trPr>
          <w:trHeight w:val="86"/>
        </w:trPr>
        <w:tc>
          <w:tcPr>
            <w:tcW w:w="4356" w:type="dxa"/>
            <w:gridSpan w:val="2"/>
            <w:shd w:val="clear" w:color="auto" w:fill="FFFFFF"/>
            <w:noWrap/>
          </w:tcPr>
          <w:bookmarkStart w:id="0" w:name="_GoBack"/>
          <w:bookmarkEnd w:id="0"/>
          <w:p w:rsidR="00290708" w:rsidRPr="008115E1" w:rsidRDefault="00B36E77" w:rsidP="00290708">
            <w:pPr>
              <w:pStyle w:val="BodyText"/>
              <w:rPr>
                <w:rFonts w:ascii="Arial" w:hAnsi="Arial" w:cs="Arial"/>
                <w:b/>
                <w:sz w:val="22"/>
              </w:rPr>
            </w:pPr>
            <w:r w:rsidRPr="008115E1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page">
                        <wp:posOffset>-4953000</wp:posOffset>
                      </wp:positionH>
                      <wp:positionV relativeFrom="page">
                        <wp:posOffset>-444500</wp:posOffset>
                      </wp:positionV>
                      <wp:extent cx="228600" cy="10058400"/>
                      <wp:effectExtent l="9525" t="9525" r="9525" b="952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C64"/>
                              </a:solidFill>
                              <a:ln w="9525">
                                <a:solidFill>
                                  <a:srgbClr val="00406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718E4" id="Rectangle 8" o:spid="_x0000_s1026" style="position:absolute;margin-left:-390pt;margin-top:-35pt;width:18pt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+uJAIAAD0EAAAOAAAAZHJzL2Uyb0RvYy54bWysU9uO0zAQfUfiHyy/06Qh7XajpqtVl0VI&#10;C6xY+ADXcRIL3xi7TcvX79jplhZ4QuTBmsmMj2fOmVne7LUiOwFeWlPT6SSnRBhuG2m6mn77ev9m&#10;QYkPzDRMWSNqehCe3qxev1oOrhKF7a1qBBAEMb4aXE37EFyVZZ73QjM/sU4YDLYWNAvoQpc1wAZE&#10;1yor8nyeDRYaB5YL7/Hv3Rikq4TftoKHz23rRSCqplhbSCekcxPPbLVkVQfM9ZIfy2D/UIVm0uCj&#10;J6g7FhjZgvwDSksO1ts2TLjVmW1byUXqAbuZ5r9189QzJ1IvSI53J5r8/4Pln3aPQGRT04ISwzRK&#10;9AVJY6ZTgiwiPYPzFWY9uUeIDXr3YPl3T4xd95glbgHs0AvWYFHTmJ9dXIiOx6tkM3y0DaKzbbCJ&#10;qX0LOgIiB2SfBDmcBBH7QDj+LIrFPEfZOIameT5blOjFN1j1ct2BD++F1SQaNQUsPsGz3YMPY+pL&#10;SirfKtncS6WSA91mrYDsWJyO/O16Xh7R/XmaMmSo6fWsmCXki5i/hCjz+dXfILQMOOZK6pou8vjF&#10;JFZF3t6ZJtmBSTXa2J0yRyIjd6MGG9sckEew4wzjzqHRW/hJyYDzW1P/Y8tAUKI+GNTielqWceCT&#10;U86uCnTgPLI5jzDDEaqmgZLRXIdxSbYOZNfjS9PUu7G3qF8rE7NR27GqY7E4o0mb4z7FJTj3U9av&#10;rV89AwAA//8DAFBLAwQUAAYACAAAACEArhKRPeEAAAAOAQAADwAAAGRycy9kb3ducmV2LnhtbEyP&#10;zU7DMBCE70i8g7VI3FKnqNAoxKkgiD9VQv3hAdx4m0TE6xC7beDpuznB7RvtaHYmWwy2FUfsfeNI&#10;wXQSg0AqnWmoUvC5fY4SED5oMrp1hAp+0MMiv7zIdGrcidZ43IRKcAj5VCuoQ+hSKX1Zo9V+4jok&#10;vu1db3Vg2VfS9PrE4baVN3F8J61uiD/UusOixvJrc7AKlo+vT8Ob+d6vXpLl6ve9Lj4KLJS6vhoe&#10;7kEEHMKfGcb6XB1y7rRzBzJetAqieRLzmDDSCGyJ5rMZ047Nt1MmmWfy/4z8DAAA//8DAFBLAQIt&#10;ABQABgAIAAAAIQC2gziS/gAAAOEBAAATAAAAAAAAAAAAAAAAAAAAAABbQ29udGVudF9UeXBlc10u&#10;eG1sUEsBAi0AFAAGAAgAAAAhADj9If/WAAAAlAEAAAsAAAAAAAAAAAAAAAAALwEAAF9yZWxzLy5y&#10;ZWxzUEsBAi0AFAAGAAgAAAAhAKLwP64kAgAAPQQAAA4AAAAAAAAAAAAAAAAALgIAAGRycy9lMm9E&#10;b2MueG1sUEsBAi0AFAAGAAgAAAAhAK4SkT3hAAAADgEAAA8AAAAAAAAAAAAAAAAAfgQAAGRycy9k&#10;b3ducmV2LnhtbFBLBQYAAAAABAAEAPMAAACMBQAAAAA=&#10;" fillcolor="#003c64" strokecolor="#004067">
                      <w10:wrap anchorx="page" anchory="page"/>
                      <w10:anchorlock/>
                    </v:rect>
                  </w:pict>
                </mc:Fallback>
              </mc:AlternateContent>
            </w:r>
            <w:r w:rsidR="00290708" w:rsidRPr="008115E1">
              <w:rPr>
                <w:rFonts w:ascii="Arial" w:hAnsi="Arial" w:cs="Arial"/>
                <w:b/>
                <w:sz w:val="22"/>
              </w:rPr>
              <w:t>PRESS RELEASE</w:t>
            </w:r>
          </w:p>
        </w:tc>
      </w:tr>
      <w:tr w:rsidR="00290708" w:rsidTr="00290708">
        <w:trPr>
          <w:gridAfter w:val="1"/>
          <w:wAfter w:w="571" w:type="dxa"/>
          <w:trHeight w:val="86"/>
        </w:trPr>
        <w:tc>
          <w:tcPr>
            <w:tcW w:w="3785" w:type="dxa"/>
            <w:shd w:val="clear" w:color="auto" w:fill="FFFFFF"/>
            <w:noWrap/>
          </w:tcPr>
          <w:p w:rsidR="00290708" w:rsidRPr="008115E1" w:rsidRDefault="00290708" w:rsidP="00290708">
            <w:pPr>
              <w:pStyle w:val="BodyText"/>
              <w:rPr>
                <w:rFonts w:ascii="Arial" w:hAnsi="Arial" w:cs="Arial"/>
                <w:sz w:val="20"/>
              </w:rPr>
            </w:pPr>
            <w:r w:rsidRPr="008115E1">
              <w:rPr>
                <w:rFonts w:ascii="Arial" w:hAnsi="Arial" w:cs="Arial"/>
                <w:sz w:val="20"/>
              </w:rPr>
              <w:t>Wayne Stellmach</w:t>
            </w:r>
          </w:p>
        </w:tc>
      </w:tr>
      <w:tr w:rsidR="00290708" w:rsidTr="00290708">
        <w:trPr>
          <w:gridAfter w:val="1"/>
          <w:wAfter w:w="571" w:type="dxa"/>
          <w:trHeight w:val="86"/>
        </w:trPr>
        <w:tc>
          <w:tcPr>
            <w:tcW w:w="3785" w:type="dxa"/>
            <w:shd w:val="clear" w:color="auto" w:fill="FFFFFF"/>
            <w:noWrap/>
          </w:tcPr>
          <w:p w:rsidR="00290708" w:rsidRPr="008115E1" w:rsidRDefault="00290708" w:rsidP="00290708">
            <w:pPr>
              <w:pStyle w:val="BodyText"/>
              <w:rPr>
                <w:rFonts w:ascii="Arial" w:hAnsi="Arial" w:cs="Arial"/>
                <w:sz w:val="20"/>
              </w:rPr>
            </w:pPr>
            <w:r w:rsidRPr="008115E1">
              <w:rPr>
                <w:rFonts w:ascii="Arial" w:hAnsi="Arial" w:cs="Arial"/>
                <w:sz w:val="20"/>
              </w:rPr>
              <w:t>Wilbert Funeral Services, Inc.</w:t>
            </w:r>
          </w:p>
        </w:tc>
      </w:tr>
      <w:tr w:rsidR="00290708" w:rsidTr="00290708">
        <w:trPr>
          <w:gridAfter w:val="1"/>
          <w:wAfter w:w="571" w:type="dxa"/>
        </w:trPr>
        <w:tc>
          <w:tcPr>
            <w:tcW w:w="3785" w:type="dxa"/>
            <w:shd w:val="clear" w:color="auto" w:fill="FFFFFF"/>
            <w:noWrap/>
          </w:tcPr>
          <w:p w:rsidR="00290708" w:rsidRPr="008115E1" w:rsidRDefault="00290708" w:rsidP="00290708">
            <w:pPr>
              <w:pStyle w:val="BodyText"/>
              <w:rPr>
                <w:rFonts w:ascii="Arial" w:hAnsi="Arial" w:cs="Arial"/>
                <w:sz w:val="20"/>
              </w:rPr>
            </w:pPr>
            <w:r w:rsidRPr="008115E1">
              <w:rPr>
                <w:rFonts w:ascii="Arial" w:hAnsi="Arial" w:cs="Arial"/>
                <w:sz w:val="20"/>
              </w:rPr>
              <w:t>708-865-1600   x166</w:t>
            </w:r>
          </w:p>
        </w:tc>
      </w:tr>
      <w:tr w:rsidR="00290708" w:rsidTr="00290708">
        <w:trPr>
          <w:gridAfter w:val="1"/>
          <w:wAfter w:w="571" w:type="dxa"/>
        </w:trPr>
        <w:tc>
          <w:tcPr>
            <w:tcW w:w="3785" w:type="dxa"/>
            <w:shd w:val="clear" w:color="auto" w:fill="FFFFFF"/>
            <w:noWrap/>
          </w:tcPr>
          <w:p w:rsidR="00290708" w:rsidRPr="008115E1" w:rsidRDefault="00842C3D" w:rsidP="00B755E7">
            <w:pPr>
              <w:pStyle w:val="BodyText"/>
              <w:rPr>
                <w:rFonts w:ascii="Arial" w:hAnsi="Arial" w:cs="Arial"/>
                <w:sz w:val="20"/>
              </w:rPr>
            </w:pPr>
            <w:hyperlink r:id="rId8" w:history="1">
              <w:r w:rsidR="008115E1" w:rsidRPr="008115E1">
                <w:rPr>
                  <w:rStyle w:val="Hyperlink"/>
                  <w:rFonts w:ascii="Arial" w:hAnsi="Arial" w:cs="Arial"/>
                  <w:sz w:val="20"/>
                </w:rPr>
                <w:t>wstellmach@wilbert.com</w:t>
              </w:r>
            </w:hyperlink>
          </w:p>
        </w:tc>
      </w:tr>
    </w:tbl>
    <w:p w:rsidR="004007DD" w:rsidRDefault="00B36E77" w:rsidP="004007DD">
      <w:pPr>
        <w:pStyle w:val="PRImmediateRelease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305</wp:posOffset>
            </wp:positionV>
            <wp:extent cx="1962150" cy="790575"/>
            <wp:effectExtent l="0" t="0" r="0" b="9525"/>
            <wp:wrapSquare wrapText="bothSides"/>
            <wp:docPr id="6" name="Picture 6" descr="Wilbert Logo-2012 Tag-548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lbert Logo-2012 Tag-548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7DD" w:rsidRDefault="004007DD" w:rsidP="004007DD">
      <w:pPr>
        <w:pStyle w:val="PRImmediateRelease"/>
      </w:pPr>
    </w:p>
    <w:p w:rsidR="004007DD" w:rsidRDefault="004007DD" w:rsidP="004007DD">
      <w:pPr>
        <w:pStyle w:val="PRImmediateRelease"/>
      </w:pPr>
    </w:p>
    <w:p w:rsidR="00F92E3E" w:rsidRDefault="00F92E3E" w:rsidP="004007DD">
      <w:pPr>
        <w:pStyle w:val="PRImmediateRelease"/>
        <w:rPr>
          <w:rFonts w:ascii="Arial" w:hAnsi="Arial" w:cs="Arial"/>
          <w:b w:val="0"/>
          <w:caps/>
        </w:rPr>
      </w:pPr>
    </w:p>
    <w:p w:rsidR="00F92E3E" w:rsidRDefault="00F92E3E" w:rsidP="004007DD">
      <w:pPr>
        <w:pStyle w:val="PRImmediateRelease"/>
        <w:rPr>
          <w:rFonts w:ascii="Arial" w:hAnsi="Arial" w:cs="Arial"/>
          <w:b w:val="0"/>
          <w:caps/>
        </w:rPr>
      </w:pPr>
    </w:p>
    <w:p w:rsidR="00F92E3E" w:rsidRDefault="00144BF4" w:rsidP="00144BF4">
      <w:pPr>
        <w:pStyle w:val="PRImmediateRelease"/>
        <w:tabs>
          <w:tab w:val="left" w:pos="1901"/>
        </w:tabs>
        <w:rPr>
          <w:rFonts w:ascii="Arial" w:hAnsi="Arial" w:cs="Arial"/>
          <w:b w:val="0"/>
          <w:caps/>
        </w:rPr>
      </w:pPr>
      <w:r>
        <w:rPr>
          <w:rFonts w:ascii="Arial" w:hAnsi="Arial" w:cs="Arial"/>
          <w:b w:val="0"/>
          <w:caps/>
        </w:rPr>
        <w:tab/>
      </w:r>
    </w:p>
    <w:p w:rsidR="00E05AF0" w:rsidRPr="00577419" w:rsidRDefault="002353EB" w:rsidP="00144BF4">
      <w:pPr>
        <w:pStyle w:val="PRImmediateRelease"/>
        <w:tabs>
          <w:tab w:val="center" w:pos="4824"/>
        </w:tabs>
        <w:rPr>
          <w:rFonts w:ascii="Arial" w:hAnsi="Arial" w:cs="Arial"/>
        </w:rPr>
      </w:pPr>
      <w:r w:rsidRPr="00577419">
        <w:rPr>
          <w:rFonts w:ascii="Arial" w:hAnsi="Arial" w:cs="Arial"/>
          <w:b w:val="0"/>
          <w:caps/>
        </w:rPr>
        <w:t>For Immediate Release</w:t>
      </w:r>
      <w:r w:rsidR="00144BF4">
        <w:rPr>
          <w:rFonts w:ascii="Arial" w:hAnsi="Arial" w:cs="Arial"/>
          <w:b w:val="0"/>
          <w:caps/>
        </w:rPr>
        <w:tab/>
      </w:r>
    </w:p>
    <w:p w:rsidR="00F92E3E" w:rsidRDefault="00F92E3E" w:rsidP="00E86D72">
      <w:pPr>
        <w:ind w:left="-360" w:firstLine="360"/>
        <w:jc w:val="center"/>
        <w:rPr>
          <w:rFonts w:ascii="Arial" w:hAnsi="Arial" w:cs="Arial"/>
          <w:b/>
          <w:caps/>
        </w:rPr>
      </w:pPr>
    </w:p>
    <w:p w:rsidR="004007DD" w:rsidRPr="00577419" w:rsidRDefault="008115E1" w:rsidP="00E86D72">
      <w:pPr>
        <w:ind w:left="-360" w:firstLine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aps/>
        </w:rPr>
        <w:t>TWELVE</w:t>
      </w:r>
      <w:r w:rsidR="00AF52EB">
        <w:rPr>
          <w:rFonts w:ascii="Arial" w:hAnsi="Arial" w:cs="Arial"/>
          <w:b/>
          <w:caps/>
        </w:rPr>
        <w:t xml:space="preserve"> wilbert licensees recognized for special achievements</w:t>
      </w:r>
    </w:p>
    <w:p w:rsidR="00D97A3D" w:rsidRPr="00577419" w:rsidRDefault="00D97A3D" w:rsidP="004007DD">
      <w:pPr>
        <w:pStyle w:val="BodyText"/>
        <w:jc w:val="center"/>
        <w:rPr>
          <w:rFonts w:ascii="Arial" w:hAnsi="Arial" w:cs="Arial"/>
          <w:b/>
          <w:bCs/>
          <w:sz w:val="20"/>
        </w:rPr>
      </w:pPr>
    </w:p>
    <w:p w:rsidR="00E86D72" w:rsidRPr="00577419" w:rsidRDefault="001E2440" w:rsidP="002563D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577419">
        <w:rPr>
          <w:rFonts w:ascii="Arial" w:hAnsi="Arial" w:cs="Arial"/>
          <w:sz w:val="22"/>
          <w:szCs w:val="22"/>
        </w:rPr>
        <w:t xml:space="preserve">BROADVIEW, IL, </w:t>
      </w:r>
      <w:r w:rsidR="00AF52EB">
        <w:rPr>
          <w:rFonts w:ascii="Arial" w:hAnsi="Arial" w:cs="Arial"/>
          <w:sz w:val="22"/>
          <w:szCs w:val="22"/>
        </w:rPr>
        <w:t xml:space="preserve">February </w:t>
      </w:r>
      <w:r w:rsidR="008115E1">
        <w:rPr>
          <w:rFonts w:ascii="Arial" w:hAnsi="Arial" w:cs="Arial"/>
          <w:sz w:val="22"/>
          <w:szCs w:val="22"/>
        </w:rPr>
        <w:t>8</w:t>
      </w:r>
      <w:r w:rsidR="00AD0D5D">
        <w:rPr>
          <w:rFonts w:ascii="Arial" w:hAnsi="Arial" w:cs="Arial"/>
          <w:sz w:val="22"/>
          <w:szCs w:val="22"/>
        </w:rPr>
        <w:t>, 201</w:t>
      </w:r>
      <w:r w:rsidR="008115E1">
        <w:rPr>
          <w:rFonts w:ascii="Arial" w:hAnsi="Arial" w:cs="Arial"/>
          <w:sz w:val="22"/>
          <w:szCs w:val="22"/>
        </w:rPr>
        <w:t>7</w:t>
      </w:r>
      <w:r w:rsidR="004007DD" w:rsidRPr="00577419">
        <w:rPr>
          <w:rFonts w:ascii="Arial" w:hAnsi="Arial" w:cs="Arial"/>
          <w:sz w:val="22"/>
          <w:szCs w:val="22"/>
        </w:rPr>
        <w:t xml:space="preserve"> – </w:t>
      </w:r>
      <w:r w:rsidR="00E86D72" w:rsidRPr="00577419">
        <w:rPr>
          <w:rFonts w:ascii="Arial" w:hAnsi="Arial" w:cs="Arial"/>
          <w:sz w:val="22"/>
          <w:szCs w:val="22"/>
        </w:rPr>
        <w:t>T</w:t>
      </w:r>
      <w:r w:rsidR="008115E1">
        <w:rPr>
          <w:rFonts w:ascii="Arial" w:hAnsi="Arial" w:cs="Arial"/>
          <w:sz w:val="22"/>
          <w:szCs w:val="22"/>
        </w:rPr>
        <w:t>welve</w:t>
      </w:r>
      <w:r w:rsidR="00577419">
        <w:rPr>
          <w:rFonts w:ascii="Arial" w:hAnsi="Arial" w:cs="Arial"/>
          <w:sz w:val="22"/>
          <w:szCs w:val="22"/>
        </w:rPr>
        <w:t xml:space="preserve"> </w:t>
      </w:r>
      <w:r w:rsidR="00E86D72" w:rsidRPr="00577419">
        <w:rPr>
          <w:rFonts w:ascii="Arial" w:hAnsi="Arial" w:cs="Arial"/>
          <w:sz w:val="22"/>
          <w:szCs w:val="22"/>
        </w:rPr>
        <w:t xml:space="preserve">Wilbert Licensees were recognized </w:t>
      </w:r>
      <w:r w:rsidR="009C03AA">
        <w:rPr>
          <w:rFonts w:ascii="Arial" w:hAnsi="Arial" w:cs="Arial"/>
          <w:sz w:val="22"/>
          <w:szCs w:val="22"/>
        </w:rPr>
        <w:t xml:space="preserve">for </w:t>
      </w:r>
      <w:r w:rsidR="003F6B3C" w:rsidRPr="00577419">
        <w:rPr>
          <w:rFonts w:ascii="Arial" w:hAnsi="Arial" w:cs="Arial"/>
          <w:sz w:val="22"/>
          <w:szCs w:val="22"/>
        </w:rPr>
        <w:t xml:space="preserve">sales accomplishments </w:t>
      </w:r>
      <w:r w:rsidR="00DC6E20" w:rsidRPr="00577419">
        <w:rPr>
          <w:rFonts w:ascii="Arial" w:hAnsi="Arial" w:cs="Arial"/>
          <w:sz w:val="22"/>
          <w:szCs w:val="22"/>
        </w:rPr>
        <w:t xml:space="preserve">at the </w:t>
      </w:r>
      <w:r w:rsidRPr="00577419">
        <w:rPr>
          <w:rFonts w:ascii="Arial" w:hAnsi="Arial" w:cs="Arial"/>
          <w:sz w:val="22"/>
          <w:szCs w:val="22"/>
        </w:rPr>
        <w:t xml:space="preserve">Wilbert Funeral Services, Inc </w:t>
      </w:r>
      <w:r w:rsidR="00E86D72" w:rsidRPr="00577419">
        <w:rPr>
          <w:rFonts w:ascii="Arial" w:hAnsi="Arial" w:cs="Arial"/>
          <w:sz w:val="22"/>
          <w:szCs w:val="22"/>
        </w:rPr>
        <w:t xml:space="preserve">(WFSI) </w:t>
      </w:r>
      <w:r w:rsidR="00DC6E20" w:rsidRPr="00577419">
        <w:rPr>
          <w:rFonts w:ascii="Arial" w:hAnsi="Arial" w:cs="Arial"/>
          <w:sz w:val="22"/>
          <w:szCs w:val="22"/>
        </w:rPr>
        <w:t>A</w:t>
      </w:r>
      <w:r w:rsidR="00E86D72" w:rsidRPr="00577419">
        <w:rPr>
          <w:rFonts w:ascii="Arial" w:hAnsi="Arial" w:cs="Arial"/>
          <w:sz w:val="22"/>
          <w:szCs w:val="22"/>
        </w:rPr>
        <w:t xml:space="preserve">nnual </w:t>
      </w:r>
      <w:r w:rsidR="00DC6E20" w:rsidRPr="00577419">
        <w:rPr>
          <w:rFonts w:ascii="Arial" w:hAnsi="Arial" w:cs="Arial"/>
          <w:sz w:val="22"/>
          <w:szCs w:val="22"/>
        </w:rPr>
        <w:t>S</w:t>
      </w:r>
      <w:r w:rsidR="00E86D72" w:rsidRPr="00577419">
        <w:rPr>
          <w:rFonts w:ascii="Arial" w:hAnsi="Arial" w:cs="Arial"/>
          <w:sz w:val="22"/>
          <w:szCs w:val="22"/>
        </w:rPr>
        <w:t xml:space="preserve">ales </w:t>
      </w:r>
      <w:r w:rsidR="00DC6E20" w:rsidRPr="00577419">
        <w:rPr>
          <w:rFonts w:ascii="Arial" w:hAnsi="Arial" w:cs="Arial"/>
          <w:sz w:val="22"/>
          <w:szCs w:val="22"/>
        </w:rPr>
        <w:t>M</w:t>
      </w:r>
      <w:r w:rsidR="008115E1">
        <w:rPr>
          <w:rFonts w:ascii="Arial" w:hAnsi="Arial" w:cs="Arial"/>
          <w:sz w:val="22"/>
          <w:szCs w:val="22"/>
        </w:rPr>
        <w:t>eeting recently held in Houston, Texas.</w:t>
      </w:r>
    </w:p>
    <w:p w:rsidR="00E86D72" w:rsidRPr="00577419" w:rsidRDefault="00E86D72" w:rsidP="002563D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FC2544" w:rsidRPr="00577419" w:rsidRDefault="008115E1" w:rsidP="002563D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A54F20">
        <w:rPr>
          <w:rFonts w:ascii="Arial" w:hAnsi="Arial" w:cs="Arial"/>
          <w:sz w:val="22"/>
          <w:szCs w:val="22"/>
        </w:rPr>
        <w:t>Whited Cemetery Service, Menifee, CA</w:t>
      </w:r>
      <w:r>
        <w:rPr>
          <w:rFonts w:ascii="Arial" w:hAnsi="Arial" w:cs="Arial"/>
          <w:sz w:val="22"/>
          <w:szCs w:val="22"/>
        </w:rPr>
        <w:t xml:space="preserve"> received both of the top awards for </w:t>
      </w:r>
      <w:r w:rsidR="00354C42">
        <w:rPr>
          <w:rFonts w:ascii="Arial" w:hAnsi="Arial" w:cs="Arial"/>
          <w:sz w:val="22"/>
          <w:szCs w:val="22"/>
        </w:rPr>
        <w:t>sales growth in lined burial vaults</w:t>
      </w:r>
      <w:r>
        <w:rPr>
          <w:rFonts w:ascii="Arial" w:hAnsi="Arial" w:cs="Arial"/>
          <w:sz w:val="22"/>
          <w:szCs w:val="22"/>
        </w:rPr>
        <w:t>, achieving the</w:t>
      </w:r>
      <w:r w:rsidR="00C807A5" w:rsidRPr="00577419">
        <w:rPr>
          <w:rFonts w:ascii="Arial" w:hAnsi="Arial" w:cs="Arial"/>
          <w:sz w:val="22"/>
          <w:szCs w:val="22"/>
        </w:rPr>
        <w:t xml:space="preserve"> greatest </w:t>
      </w:r>
      <w:r>
        <w:rPr>
          <w:rFonts w:ascii="Arial" w:hAnsi="Arial" w:cs="Arial"/>
          <w:sz w:val="22"/>
          <w:szCs w:val="22"/>
        </w:rPr>
        <w:t>increase in the number of burial vaults interred in 2016 over 2015, as well as the greatest percentage increase year-over-year.</w:t>
      </w:r>
    </w:p>
    <w:p w:rsidR="00FC2544" w:rsidRPr="00577419" w:rsidRDefault="00FC2544" w:rsidP="002563D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047DAB" w:rsidRDefault="00354C42" w:rsidP="002563D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c</w:t>
      </w:r>
      <w:r w:rsidR="00FC2544" w:rsidRPr="00577419">
        <w:rPr>
          <w:rFonts w:ascii="Arial" w:hAnsi="Arial" w:cs="Arial"/>
          <w:sz w:val="22"/>
          <w:szCs w:val="22"/>
        </w:rPr>
        <w:t>remation product sales</w:t>
      </w:r>
      <w:r>
        <w:rPr>
          <w:rFonts w:ascii="Arial" w:hAnsi="Arial" w:cs="Arial"/>
          <w:sz w:val="22"/>
          <w:szCs w:val="22"/>
        </w:rPr>
        <w:t xml:space="preserve">, </w:t>
      </w:r>
      <w:r w:rsidR="00F17926" w:rsidRPr="00F17926">
        <w:rPr>
          <w:rFonts w:ascii="Arial" w:hAnsi="Arial" w:cs="Arial"/>
          <w:sz w:val="22"/>
          <w:szCs w:val="22"/>
        </w:rPr>
        <w:t xml:space="preserve">Arnold Wilbert Corporation, Goldsboro, NC </w:t>
      </w:r>
      <w:r>
        <w:rPr>
          <w:rFonts w:ascii="Arial" w:hAnsi="Arial" w:cs="Arial"/>
          <w:sz w:val="22"/>
          <w:szCs w:val="22"/>
        </w:rPr>
        <w:t xml:space="preserve">earned </w:t>
      </w:r>
      <w:r w:rsidR="00FC2544" w:rsidRPr="0057741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award for the greatest growth in units.  </w:t>
      </w:r>
      <w:r w:rsidR="00F17926" w:rsidRPr="00F17926">
        <w:rPr>
          <w:rFonts w:ascii="Arial" w:hAnsi="Arial" w:cs="Arial"/>
          <w:sz w:val="22"/>
          <w:szCs w:val="22"/>
        </w:rPr>
        <w:t>Windsor Vault Co. Limited, Maidstone, ON, Canada</w:t>
      </w:r>
      <w:r>
        <w:rPr>
          <w:rFonts w:ascii="Arial" w:hAnsi="Arial" w:cs="Arial"/>
          <w:sz w:val="22"/>
          <w:szCs w:val="22"/>
        </w:rPr>
        <w:t xml:space="preserve"> achieved</w:t>
      </w:r>
      <w:r w:rsidR="00FC2544" w:rsidRPr="00577419">
        <w:rPr>
          <w:rFonts w:ascii="Arial" w:hAnsi="Arial" w:cs="Arial"/>
          <w:sz w:val="22"/>
          <w:szCs w:val="22"/>
        </w:rPr>
        <w:t xml:space="preserve"> the greatest percentage growth in cremation products</w:t>
      </w:r>
      <w:r w:rsidR="007262A6" w:rsidRPr="00577419">
        <w:rPr>
          <w:rFonts w:ascii="Arial" w:hAnsi="Arial" w:cs="Arial"/>
          <w:sz w:val="22"/>
          <w:szCs w:val="22"/>
        </w:rPr>
        <w:t>.</w:t>
      </w:r>
    </w:p>
    <w:p w:rsidR="0008035D" w:rsidRDefault="0008035D" w:rsidP="002563D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08035D" w:rsidRPr="00577419" w:rsidRDefault="0008035D" w:rsidP="002563D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 related to cremation products is the WilbertDirect award </w:t>
      </w:r>
      <w:r w:rsidR="003C37C0">
        <w:rPr>
          <w:rFonts w:ascii="Arial" w:hAnsi="Arial" w:cs="Arial"/>
          <w:sz w:val="22"/>
          <w:szCs w:val="22"/>
        </w:rPr>
        <w:t xml:space="preserve">achieved by </w:t>
      </w:r>
      <w:r w:rsidRPr="0008035D">
        <w:rPr>
          <w:rFonts w:ascii="Arial" w:hAnsi="Arial" w:cs="Arial"/>
          <w:sz w:val="22"/>
          <w:szCs w:val="22"/>
        </w:rPr>
        <w:t>Baxter Burial Vault Service, Inc., Cincinnati, OH</w:t>
      </w:r>
      <w:r>
        <w:rPr>
          <w:rFonts w:ascii="Arial" w:hAnsi="Arial" w:cs="Arial"/>
          <w:sz w:val="22"/>
          <w:szCs w:val="22"/>
        </w:rPr>
        <w:t xml:space="preserve">, </w:t>
      </w:r>
      <w:r w:rsidR="003C37C0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>recogniz</w:t>
      </w:r>
      <w:r w:rsidR="003C37C0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the greatest growth in </w:t>
      </w:r>
      <w:r w:rsidR="00051F4C">
        <w:rPr>
          <w:rFonts w:ascii="Arial" w:hAnsi="Arial" w:cs="Arial"/>
          <w:sz w:val="22"/>
          <w:szCs w:val="22"/>
        </w:rPr>
        <w:t xml:space="preserve">sales on </w:t>
      </w:r>
      <w:r>
        <w:rPr>
          <w:rFonts w:ascii="Arial" w:hAnsi="Arial" w:cs="Arial"/>
          <w:sz w:val="22"/>
          <w:szCs w:val="22"/>
        </w:rPr>
        <w:t>the WilbertDirect ecommerce website.</w:t>
      </w:r>
    </w:p>
    <w:p w:rsidR="007262A6" w:rsidRPr="00577419" w:rsidRDefault="007262A6" w:rsidP="002563D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3E1BBD" w:rsidRPr="00577419" w:rsidRDefault="00F17926" w:rsidP="003E1BBD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</w:t>
      </w:r>
      <w:r w:rsidR="00F0304B">
        <w:rPr>
          <w:rFonts w:ascii="Arial" w:hAnsi="Arial" w:cs="Arial"/>
          <w:sz w:val="22"/>
          <w:szCs w:val="22"/>
        </w:rPr>
        <w:t xml:space="preserve"> </w:t>
      </w:r>
      <w:r w:rsidR="00047DAB" w:rsidRPr="00577419">
        <w:rPr>
          <w:rFonts w:ascii="Arial" w:hAnsi="Arial" w:cs="Arial"/>
          <w:sz w:val="22"/>
          <w:szCs w:val="22"/>
        </w:rPr>
        <w:t xml:space="preserve">Wilbert Licensees received the Wilbert 110% Club award, </w:t>
      </w:r>
      <w:r w:rsidR="00F0304B">
        <w:rPr>
          <w:rFonts w:ascii="Arial" w:hAnsi="Arial" w:cs="Arial"/>
          <w:sz w:val="22"/>
          <w:szCs w:val="22"/>
        </w:rPr>
        <w:t xml:space="preserve">which </w:t>
      </w:r>
      <w:r w:rsidR="00047DAB" w:rsidRPr="00577419">
        <w:rPr>
          <w:rFonts w:ascii="Arial" w:hAnsi="Arial" w:cs="Arial"/>
          <w:sz w:val="22"/>
          <w:szCs w:val="22"/>
        </w:rPr>
        <w:t>recogniz</w:t>
      </w:r>
      <w:r w:rsidR="00F0304B">
        <w:rPr>
          <w:rFonts w:ascii="Arial" w:hAnsi="Arial" w:cs="Arial"/>
          <w:sz w:val="22"/>
          <w:szCs w:val="22"/>
        </w:rPr>
        <w:t xml:space="preserve">es </w:t>
      </w:r>
      <w:r w:rsidR="00047DAB" w:rsidRPr="00577419">
        <w:rPr>
          <w:rFonts w:ascii="Arial" w:hAnsi="Arial" w:cs="Arial"/>
          <w:sz w:val="22"/>
          <w:szCs w:val="22"/>
        </w:rPr>
        <w:t xml:space="preserve">those </w:t>
      </w:r>
      <w:r w:rsidR="003E1BBD" w:rsidRPr="00577419">
        <w:rPr>
          <w:rFonts w:ascii="Arial" w:hAnsi="Arial" w:cs="Arial"/>
          <w:sz w:val="22"/>
          <w:szCs w:val="22"/>
        </w:rPr>
        <w:t>whose 201</w:t>
      </w:r>
      <w:r>
        <w:rPr>
          <w:rFonts w:ascii="Arial" w:hAnsi="Arial" w:cs="Arial"/>
          <w:sz w:val="22"/>
          <w:szCs w:val="22"/>
        </w:rPr>
        <w:t>6</w:t>
      </w:r>
      <w:r w:rsidR="003E1BBD" w:rsidRPr="00577419">
        <w:rPr>
          <w:rFonts w:ascii="Arial" w:hAnsi="Arial" w:cs="Arial"/>
          <w:sz w:val="22"/>
          <w:szCs w:val="22"/>
        </w:rPr>
        <w:t xml:space="preserve"> burial vault sales were at least 110% of th</w:t>
      </w:r>
      <w:r w:rsidR="00F0304B">
        <w:rPr>
          <w:rFonts w:ascii="Arial" w:hAnsi="Arial" w:cs="Arial"/>
          <w:sz w:val="22"/>
          <w:szCs w:val="22"/>
        </w:rPr>
        <w:t>eir 201</w:t>
      </w:r>
      <w:r>
        <w:rPr>
          <w:rFonts w:ascii="Arial" w:hAnsi="Arial" w:cs="Arial"/>
          <w:sz w:val="22"/>
          <w:szCs w:val="22"/>
        </w:rPr>
        <w:t>5</w:t>
      </w:r>
      <w:r w:rsidR="00F0304B">
        <w:rPr>
          <w:rFonts w:ascii="Arial" w:hAnsi="Arial" w:cs="Arial"/>
          <w:sz w:val="22"/>
          <w:szCs w:val="22"/>
        </w:rPr>
        <w:t xml:space="preserve"> sales</w:t>
      </w:r>
      <w:r w:rsidR="003E1BBD" w:rsidRPr="00577419">
        <w:rPr>
          <w:rFonts w:ascii="Arial" w:hAnsi="Arial" w:cs="Arial"/>
          <w:sz w:val="22"/>
          <w:szCs w:val="22"/>
        </w:rPr>
        <w:t>.  Recipients were:</w:t>
      </w:r>
      <w:r w:rsidR="00702706">
        <w:rPr>
          <w:rFonts w:ascii="Arial" w:hAnsi="Arial" w:cs="Arial"/>
          <w:sz w:val="22"/>
          <w:szCs w:val="22"/>
        </w:rPr>
        <w:br/>
      </w:r>
    </w:p>
    <w:p w:rsidR="00A54F20" w:rsidRPr="00A54F20" w:rsidRDefault="00A54F20" w:rsidP="00A54F20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A54F20">
        <w:rPr>
          <w:rFonts w:ascii="Arial" w:hAnsi="Arial" w:cs="Arial"/>
          <w:sz w:val="22"/>
          <w:szCs w:val="22"/>
        </w:rPr>
        <w:t>Whited Cemetery Service, Menifee, CA</w:t>
      </w:r>
    </w:p>
    <w:p w:rsidR="00A54F20" w:rsidRPr="00A54F20" w:rsidRDefault="00F17926" w:rsidP="00A54F20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F17926">
        <w:rPr>
          <w:rFonts w:ascii="Arial" w:hAnsi="Arial" w:cs="Arial"/>
          <w:sz w:val="22"/>
          <w:szCs w:val="22"/>
        </w:rPr>
        <w:t>Knauer Industries, LLC, Joliet, IL</w:t>
      </w:r>
    </w:p>
    <w:p w:rsidR="00F17926" w:rsidRPr="00F17926" w:rsidRDefault="00F17926" w:rsidP="00F1792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F17926">
        <w:rPr>
          <w:rFonts w:ascii="Arial" w:hAnsi="Arial" w:cs="Arial"/>
          <w:sz w:val="22"/>
          <w:szCs w:val="22"/>
        </w:rPr>
        <w:t>Wilbert Vault Works, Hudson, NY</w:t>
      </w:r>
    </w:p>
    <w:p w:rsidR="00F17926" w:rsidRPr="00F17926" w:rsidRDefault="00F17926" w:rsidP="00F1792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F17926">
        <w:rPr>
          <w:rFonts w:ascii="Arial" w:hAnsi="Arial" w:cs="Arial"/>
          <w:sz w:val="22"/>
          <w:szCs w:val="22"/>
        </w:rPr>
        <w:t>Brown-Wilbert, Inc., Fargo, ND</w:t>
      </w:r>
    </w:p>
    <w:p w:rsidR="00F17926" w:rsidRPr="00F17926" w:rsidRDefault="00F17926" w:rsidP="00F1792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F17926">
        <w:rPr>
          <w:rFonts w:ascii="Arial" w:hAnsi="Arial" w:cs="Arial"/>
          <w:sz w:val="22"/>
          <w:szCs w:val="22"/>
        </w:rPr>
        <w:t>The Akron Vault Co., Akron, OH</w:t>
      </w:r>
    </w:p>
    <w:p w:rsidR="00F17926" w:rsidRPr="00F17926" w:rsidRDefault="00F17926" w:rsidP="00F1792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F17926">
        <w:rPr>
          <w:rFonts w:ascii="Arial" w:hAnsi="Arial" w:cs="Arial"/>
          <w:sz w:val="22"/>
          <w:szCs w:val="22"/>
        </w:rPr>
        <w:t xml:space="preserve">Evans Burial Vaults, </w:t>
      </w:r>
      <w:r w:rsidR="004D6BDB">
        <w:rPr>
          <w:rFonts w:ascii="Arial" w:hAnsi="Arial" w:cs="Arial"/>
          <w:sz w:val="22"/>
          <w:szCs w:val="22"/>
        </w:rPr>
        <w:t>Leola</w:t>
      </w:r>
      <w:r w:rsidRPr="00F17926">
        <w:rPr>
          <w:rFonts w:ascii="Arial" w:hAnsi="Arial" w:cs="Arial"/>
          <w:sz w:val="22"/>
          <w:szCs w:val="22"/>
        </w:rPr>
        <w:t>, PA</w:t>
      </w:r>
    </w:p>
    <w:p w:rsidR="00F17926" w:rsidRPr="00F17926" w:rsidRDefault="00F17926" w:rsidP="00F1792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F17926">
        <w:rPr>
          <w:rFonts w:ascii="Arial" w:hAnsi="Arial" w:cs="Arial"/>
          <w:sz w:val="22"/>
          <w:szCs w:val="22"/>
        </w:rPr>
        <w:t>Lycoming Burial Vault Co., Inc., Montoursville, PA</w:t>
      </w:r>
    </w:p>
    <w:p w:rsidR="00F17926" w:rsidRPr="00F17926" w:rsidRDefault="00F17926" w:rsidP="00F1792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F17926">
        <w:rPr>
          <w:rFonts w:ascii="Arial" w:hAnsi="Arial" w:cs="Arial"/>
          <w:sz w:val="22"/>
          <w:szCs w:val="22"/>
        </w:rPr>
        <w:t>Wilbert Funeral Services, Austin, TX</w:t>
      </w:r>
    </w:p>
    <w:p w:rsidR="00F17926" w:rsidRPr="00F17926" w:rsidRDefault="00F17926" w:rsidP="00F17926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F17926">
        <w:rPr>
          <w:rFonts w:ascii="Arial" w:hAnsi="Arial" w:cs="Arial"/>
          <w:sz w:val="22"/>
          <w:szCs w:val="22"/>
        </w:rPr>
        <w:t>Wilbert Funeral Services, Cedar Hill, TX</w:t>
      </w:r>
    </w:p>
    <w:p w:rsidR="000776AC" w:rsidRPr="00577419" w:rsidRDefault="00F17926" w:rsidP="004D6BDB">
      <w:pPr>
        <w:pStyle w:val="BodyText"/>
        <w:tabs>
          <w:tab w:val="left" w:pos="758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F17926">
        <w:rPr>
          <w:rFonts w:ascii="Arial" w:hAnsi="Arial" w:cs="Arial"/>
          <w:sz w:val="22"/>
          <w:szCs w:val="22"/>
        </w:rPr>
        <w:t>Windsor Vault Co. Limited, Maidstone, ON, Canada</w:t>
      </w:r>
      <w:r w:rsidR="00B36E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" cy="10058400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058400"/>
                        </a:xfrm>
                        <a:prstGeom prst="rect">
                          <a:avLst/>
                        </a:prstGeom>
                        <a:solidFill>
                          <a:srgbClr val="003C64"/>
                        </a:solidFill>
                        <a:ln w="9525">
                          <a:solidFill>
                            <a:srgbClr val="00406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BF7F7" id="Rectangle 9" o:spid="_x0000_s1026" style="position:absolute;margin-left:0;margin-top:0;width:18pt;height:11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UNJAIAAD0EAAAOAAAAZHJzL2Uyb0RvYy54bWysU9uO0zAQfUfiHyy/06Qh7bZR09WqyyKk&#10;BVYsfIDrOImFb4zdpsvX79jplhZ4QuTBmsmMj2fOmVldH7QiewFeWlPT6SSnRBhuG2m6mn77evdm&#10;QYkPzDRMWSNq+iQ8vV6/frUaXCUK21vVCCAIYnw1uJr2IbgqyzzvhWZ+Yp0wGGwtaBbQhS5rgA2I&#10;rlVW5Pk8Gyw0DiwX3uPf2zFI1wm/bQUPn9vWi0BUTbG2kE5I5zae2XrFqg6Y6yU/lsH+oQrNpMFH&#10;T1C3LDCyA/kHlJYcrLdtmHCrM9u2kovUA3YzzX/r5rFnTqRekBzvTjT5/wfLP+0fgMgGtaPEMI0S&#10;fUHSmOmUIMtIz+B8hVmP7gFig97dW/7dE2M3PWaJGwA79II1WNQ05mcXF6Lj8SrZDh9tg+hsF2xi&#10;6tCCjoDIATkkQZ5OgohDIBx/FsVinqNsHEPTPJ8tSvTiG6x6ue7Ah/fCahKNmgIWn+DZ/t6HMfUl&#10;JZVvlWzupFLJgW67UUD2LE5H/nYzL4/o/jxNGTLUdDkrZgn5IuYvIcp8fvU3CC0DjrmSuqaLPH4x&#10;iVWRt3emSXZgUo02dqfMkcjI3ajB1jZPyCPYcYZx59DoLfykZMD5ran/sWMgKFEfDGqxnJZlHPjk&#10;lLOrAh04j2zPI8xwhKppoGQ0N2Fckp0D2fX40jT1buwN6tfKxGzUdqzqWCzOaNLmuE9xCc79lPVr&#10;69fPAAAA//8DAFBLAwQUAAYACAAAACEA31i5qd0AAAAFAQAADwAAAGRycy9kb3ducmV2LnhtbEyP&#10;zU7DMBCE70h9B2srcaNO+amiNE4FQfypEmoLD+DG2zgiXofYbQNPz8KFXlYazWj2m3wxuFYcsA+N&#10;JwXTSQICqfKmoVrB+9vDRQoiRE1Gt55QwRcGWBSjs1xnxh9pjYdNrAWXUMi0Ahtjl0kZKotOh4nv&#10;kNjb+d7pyLKvpen1kctdKy+TZCadbog/WN1habH62OydguXd0/3wbD53q8d0ufp+seVriaVS5+Ph&#10;dg4i4hD/w/CLz+hQMNPW78kE0SrgIfHvsnc1Y7XlzE16nYAscnlKX/wAAAD//wMAUEsBAi0AFAAG&#10;AAgAAAAhALaDOJL+AAAA4QEAABMAAAAAAAAAAAAAAAAAAAAAAFtDb250ZW50X1R5cGVzXS54bWxQ&#10;SwECLQAUAAYACAAAACEAOP0h/9YAAACUAQAACwAAAAAAAAAAAAAAAAAvAQAAX3JlbHMvLnJlbHNQ&#10;SwECLQAUAAYACAAAACEAitRlDSQCAAA9BAAADgAAAAAAAAAAAAAAAAAuAgAAZHJzL2Uyb0RvYy54&#10;bWxQSwECLQAUAAYACAAAACEA31i5qd0AAAAFAQAADwAAAAAAAAAAAAAAAAB+BAAAZHJzL2Rvd25y&#10;ZXYueG1sUEsFBgAAAAAEAAQA8wAAAIgFAAAAAA==&#10;" fillcolor="#003c64" strokecolor="#004067">
                <w10:wrap anchorx="page" anchory="page"/>
                <w10:anchorlock/>
              </v:rect>
            </w:pict>
          </mc:Fallback>
        </mc:AlternateContent>
      </w:r>
      <w:r w:rsidR="004D6BDB">
        <w:rPr>
          <w:rFonts w:ascii="Arial" w:hAnsi="Arial" w:cs="Arial"/>
          <w:sz w:val="22"/>
          <w:szCs w:val="22"/>
        </w:rPr>
        <w:tab/>
      </w:r>
      <w:r w:rsidR="00973E37" w:rsidRPr="00577419">
        <w:rPr>
          <w:rFonts w:ascii="Arial" w:hAnsi="Arial" w:cs="Arial"/>
          <w:sz w:val="22"/>
          <w:szCs w:val="22"/>
          <w:lang w:val="en"/>
        </w:rPr>
        <w:br/>
      </w:r>
    </w:p>
    <w:p w:rsidR="00D63B92" w:rsidRDefault="00D63B92" w:rsidP="00492F54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D63B92" w:rsidRDefault="00D63B92" w:rsidP="00492F54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D63B92" w:rsidRDefault="00D63B92" w:rsidP="00492F54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144BF4" w:rsidRDefault="00B23852" w:rsidP="00492F54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577419">
        <w:rPr>
          <w:rFonts w:ascii="Arial" w:hAnsi="Arial" w:cs="Arial"/>
          <w:sz w:val="22"/>
          <w:szCs w:val="22"/>
        </w:rPr>
        <w:t>“</w:t>
      </w:r>
      <w:r w:rsidR="007E44DD">
        <w:rPr>
          <w:rFonts w:ascii="Arial" w:hAnsi="Arial" w:cs="Arial"/>
          <w:sz w:val="22"/>
          <w:szCs w:val="22"/>
        </w:rPr>
        <w:t xml:space="preserve">These special achievements illustrate the dedication and excellent service these Licensees provide to funeral professionals and the families they serve,” said </w:t>
      </w:r>
      <w:r w:rsidR="007E44DD" w:rsidRPr="00577419">
        <w:rPr>
          <w:rFonts w:ascii="Arial" w:hAnsi="Arial" w:cs="Arial"/>
          <w:sz w:val="22"/>
          <w:szCs w:val="22"/>
        </w:rPr>
        <w:t>Mark Klingenberger, Vice-President Sales &amp; Marketing, WFSI.</w:t>
      </w:r>
      <w:r w:rsidR="007E44DD">
        <w:rPr>
          <w:rFonts w:ascii="Arial" w:hAnsi="Arial" w:cs="Arial"/>
          <w:sz w:val="22"/>
          <w:szCs w:val="22"/>
        </w:rPr>
        <w:t xml:space="preserve"> “Ultimately it’s all about the experience that families receive and the quality of the products and excellence of the service help frame a good experience.</w:t>
      </w:r>
      <w:r w:rsidR="00FF4F4B">
        <w:rPr>
          <w:rFonts w:ascii="Arial" w:hAnsi="Arial" w:cs="Arial"/>
          <w:sz w:val="22"/>
          <w:szCs w:val="22"/>
        </w:rPr>
        <w:t xml:space="preserve">  Congratulations to these Wilbert Licensees </w:t>
      </w:r>
      <w:r w:rsidR="00144BF4">
        <w:rPr>
          <w:rFonts w:ascii="Arial" w:hAnsi="Arial" w:cs="Arial"/>
          <w:sz w:val="22"/>
          <w:szCs w:val="22"/>
        </w:rPr>
        <w:t>for their exceptional accomplishments.”</w:t>
      </w:r>
    </w:p>
    <w:p w:rsidR="00144BF4" w:rsidRDefault="00144BF4" w:rsidP="00492F54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BD569C" w:rsidRPr="00577419" w:rsidRDefault="003B7FEB" w:rsidP="00492F54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577419">
        <w:rPr>
          <w:rFonts w:ascii="Arial" w:hAnsi="Arial" w:cs="Arial"/>
          <w:sz w:val="22"/>
          <w:szCs w:val="22"/>
        </w:rPr>
        <w:t xml:space="preserve">To </w:t>
      </w:r>
      <w:r w:rsidR="008A659E" w:rsidRPr="00577419">
        <w:rPr>
          <w:rFonts w:ascii="Arial" w:hAnsi="Arial" w:cs="Arial"/>
          <w:sz w:val="22"/>
          <w:szCs w:val="22"/>
        </w:rPr>
        <w:t xml:space="preserve">learn more about </w:t>
      </w:r>
      <w:r w:rsidR="00AF629A" w:rsidRPr="00577419">
        <w:rPr>
          <w:rFonts w:ascii="Arial" w:hAnsi="Arial" w:cs="Arial"/>
          <w:sz w:val="22"/>
          <w:szCs w:val="22"/>
        </w:rPr>
        <w:t xml:space="preserve">Wilbert Funeral Services or to find a local Wilbert Licensee, </w:t>
      </w:r>
      <w:r w:rsidR="00E05AF0" w:rsidRPr="00577419">
        <w:rPr>
          <w:rFonts w:ascii="Arial" w:hAnsi="Arial" w:cs="Arial"/>
          <w:sz w:val="22"/>
          <w:szCs w:val="22"/>
        </w:rPr>
        <w:t xml:space="preserve">visit </w:t>
      </w:r>
      <w:r w:rsidR="00AF629A" w:rsidRPr="00577419">
        <w:rPr>
          <w:rFonts w:ascii="Arial" w:hAnsi="Arial" w:cs="Arial"/>
          <w:sz w:val="22"/>
          <w:szCs w:val="22"/>
        </w:rPr>
        <w:t xml:space="preserve">WFSI’s Funeral Professional website at </w:t>
      </w:r>
      <w:hyperlink r:id="rId10" w:history="1">
        <w:r w:rsidR="00AF629A" w:rsidRPr="00577419">
          <w:rPr>
            <w:rStyle w:val="Hyperlink"/>
            <w:rFonts w:ascii="Arial" w:hAnsi="Arial" w:cs="Arial"/>
            <w:sz w:val="22"/>
            <w:szCs w:val="22"/>
          </w:rPr>
          <w:t>www.wilbert.com/funeral-professionals</w:t>
        </w:r>
      </w:hyperlink>
      <w:r w:rsidR="00E05AF0" w:rsidRPr="00577419">
        <w:rPr>
          <w:rFonts w:ascii="Arial" w:hAnsi="Arial" w:cs="Arial"/>
          <w:sz w:val="22"/>
          <w:szCs w:val="22"/>
        </w:rPr>
        <w:t>.</w:t>
      </w:r>
    </w:p>
    <w:p w:rsidR="004007DD" w:rsidRPr="00577419" w:rsidRDefault="00AF629A" w:rsidP="004007DD">
      <w:pPr>
        <w:pStyle w:val="PR"/>
        <w:rPr>
          <w:rFonts w:ascii="Arial" w:hAnsi="Arial" w:cs="Arial"/>
          <w:sz w:val="22"/>
          <w:szCs w:val="22"/>
        </w:rPr>
      </w:pPr>
      <w:r w:rsidRPr="00577419">
        <w:rPr>
          <w:rFonts w:ascii="Arial" w:hAnsi="Arial" w:cs="Arial"/>
          <w:sz w:val="22"/>
          <w:szCs w:val="22"/>
        </w:rPr>
        <w:br/>
      </w:r>
      <w:r w:rsidR="00144BF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5A5FC920" wp14:editId="27B3B69B">
                <wp:simplePos x="0" y="0"/>
                <wp:positionH relativeFrom="page">
                  <wp:posOffset>6985</wp:posOffset>
                </wp:positionH>
                <wp:positionV relativeFrom="page">
                  <wp:posOffset>17780</wp:posOffset>
                </wp:positionV>
                <wp:extent cx="228600" cy="10058400"/>
                <wp:effectExtent l="0" t="0" r="19050" b="1905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058400"/>
                        </a:xfrm>
                        <a:prstGeom prst="rect">
                          <a:avLst/>
                        </a:prstGeom>
                        <a:solidFill>
                          <a:srgbClr val="003C64"/>
                        </a:solidFill>
                        <a:ln w="9525">
                          <a:solidFill>
                            <a:srgbClr val="00406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324C" id="Rectangle 9" o:spid="_x0000_s1026" style="position:absolute;margin-left:.55pt;margin-top:1.4pt;width:18pt;height:11in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upJAIAAD0EAAAOAAAAZHJzL2Uyb0RvYy54bWysU9uO0zAQfUfiHyy/06TZtNtGTVerLouQ&#10;Flix8AGu4yQWvjF2my5fz9jplhZ4QuTBmsmMj2fOmVndHLQiewFeWlPT6SSnRBhuG2m6mn79cv9m&#10;QYkPzDRMWSNq+iw8vVm/frUaXCUK21vVCCAIYnw1uJr2IbgqyzzvhWZ+Yp0wGGwtaBbQhS5rgA2I&#10;rlVW5Pk8Gyw0DiwX3uPfuzFI1wm/bQUPn9rWi0BUTbG2kE5I5zae2XrFqg6Y6yU/lsH+oQrNpMFH&#10;T1B3LDCyA/kHlJYcrLdtmHCrM9u2kovUA3YzzX/r5qlnTqRekBzvTjT5/wfLP+4fgcimpleUGKZR&#10;os9IGjOdEmQZ6RmcrzDryT1CbNC7B8u/eWLspscscQtgh16wBouaxvzs4kJ0PF4l2+GDbRCd7YJN&#10;TB1a0BEQOSCHJMjzSRBxCITjz6JYzHOUjWNomuezRYlefINVL9cd+PBOWE2iUVPA4hM82z/4MKa+&#10;pKTyrZLNvVQqOdBtNwrInsXpyK828/KI7s/TlCFDTZezYpaQL2L+EqLM59d/g9Ay4JgrqWu6yOMX&#10;k1gVeXtrmmQHJtVoY3fKHImM3I0abG3zjDyCHWcYdw6N3sIPSgac35r67zsGghL13qAWy2lZxoFP&#10;Tjm7LtCB88j2PMIMR6iaBkpGcxPGJdk5kF2PL01T78beon6tTMxGbceqjsXijCZtjvsUl+DcT1m/&#10;tn79EwAA//8DAFBLAwQUAAYACAAAACEA9nsWL90AAAAHAQAADwAAAGRycy9kb3ducmV2LnhtbEyO&#10;3U7CQBCF7014h82QeCdbMGJTuiVa4w8hMYg+wNIdug3d2dpdoPr0jld6+c05OfPly8G14oR9aDwp&#10;mE4SEEiVNw3VCj7eH69SECFqMrr1hAq+MMCyGF3kOjP+TG942sZa8AiFTCuwMXaZlKGy6HSY+A6J&#10;s73vnY6MfS1Nr8887lo5S5K5dLoh/mB1h6XF6rA9OgXr++eH4cV87jdP6XrzvbLla4mlUpfj4W4B&#10;IuIQ/8rwq8/qULDTzh/JBNEyT7moYMb+nF7fMu74epPOU5BFLv/7Fz8AAAD//wMAUEsBAi0AFAAG&#10;AAgAAAAhALaDOJL+AAAA4QEAABMAAAAAAAAAAAAAAAAAAAAAAFtDb250ZW50X1R5cGVzXS54bWxQ&#10;SwECLQAUAAYACAAAACEAOP0h/9YAAACUAQAACwAAAAAAAAAAAAAAAAAvAQAAX3JlbHMvLnJlbHNQ&#10;SwECLQAUAAYACAAAACEAjcGLqSQCAAA9BAAADgAAAAAAAAAAAAAAAAAuAgAAZHJzL2Uyb0RvYy54&#10;bWxQSwECLQAUAAYACAAAACEA9nsWL90AAAAHAQAADwAAAAAAAAAAAAAAAAB+BAAAZHJzL2Rvd25y&#10;ZXYueG1sUEsFBgAAAAAEAAQA8wAAAIgFAAAAAA==&#10;" fillcolor="#003c64" strokecolor="#004067">
                <w10:wrap anchorx="page" anchory="page"/>
                <w10:anchorlock/>
              </v:rect>
            </w:pict>
          </mc:Fallback>
        </mc:AlternateContent>
      </w:r>
      <w:r w:rsidR="004007DD" w:rsidRPr="00577419">
        <w:rPr>
          <w:rFonts w:ascii="Arial" w:hAnsi="Arial" w:cs="Arial"/>
          <w:sz w:val="22"/>
          <w:szCs w:val="22"/>
        </w:rPr>
        <w:t># # #</w:t>
      </w:r>
    </w:p>
    <w:sectPr w:rsidR="004007DD" w:rsidRPr="00577419" w:rsidSect="00144BF4">
      <w:footerReference w:type="even" r:id="rId11"/>
      <w:footerReference w:type="default" r:id="rId12"/>
      <w:pgSz w:w="12240" w:h="15840"/>
      <w:pgMar w:top="630" w:right="1152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3D" w:rsidRDefault="00842C3D">
      <w:r>
        <w:separator/>
      </w:r>
    </w:p>
  </w:endnote>
  <w:endnote w:type="continuationSeparator" w:id="0">
    <w:p w:rsidR="00842C3D" w:rsidRDefault="0084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7DD" w:rsidRDefault="004007DD" w:rsidP="00400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7DD" w:rsidRDefault="004007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7DD" w:rsidRPr="00BC6105" w:rsidRDefault="004007DD" w:rsidP="00760EB7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3C075B">
      <w:rPr>
        <w:rFonts w:ascii="Arial" w:hAnsi="Arial" w:cs="Arial"/>
        <w:sz w:val="18"/>
        <w:szCs w:val="18"/>
      </w:rPr>
      <w:t xml:space="preserve">Press Release: </w:t>
    </w:r>
    <w:r w:rsidR="007C4DC0" w:rsidRPr="007C4DC0">
      <w:rPr>
        <w:rFonts w:ascii="Arial" w:hAnsi="Arial" w:cs="Arial"/>
        <w:sz w:val="18"/>
        <w:szCs w:val="18"/>
      </w:rPr>
      <w:t>T</w:t>
    </w:r>
    <w:r w:rsidR="004226FC">
      <w:rPr>
        <w:rFonts w:ascii="Arial" w:hAnsi="Arial" w:cs="Arial"/>
        <w:sz w:val="18"/>
        <w:szCs w:val="18"/>
      </w:rPr>
      <w:t>welve</w:t>
    </w:r>
    <w:r w:rsidR="007C4DC0" w:rsidRPr="007C4DC0">
      <w:rPr>
        <w:rFonts w:ascii="Arial" w:hAnsi="Arial" w:cs="Arial"/>
        <w:sz w:val="18"/>
        <w:szCs w:val="18"/>
      </w:rPr>
      <w:t xml:space="preserve"> W</w:t>
    </w:r>
    <w:r w:rsidR="007C4DC0">
      <w:rPr>
        <w:rFonts w:ascii="Arial" w:hAnsi="Arial" w:cs="Arial"/>
        <w:sz w:val="18"/>
        <w:szCs w:val="18"/>
      </w:rPr>
      <w:t>ilbert</w:t>
    </w:r>
    <w:r w:rsidR="007C4DC0" w:rsidRPr="007C4DC0">
      <w:rPr>
        <w:rFonts w:ascii="Arial" w:hAnsi="Arial" w:cs="Arial"/>
        <w:sz w:val="18"/>
        <w:szCs w:val="18"/>
      </w:rPr>
      <w:t xml:space="preserve"> L</w:t>
    </w:r>
    <w:r w:rsidR="007C4DC0">
      <w:rPr>
        <w:rFonts w:ascii="Arial" w:hAnsi="Arial" w:cs="Arial"/>
        <w:sz w:val="18"/>
        <w:szCs w:val="18"/>
      </w:rPr>
      <w:t>icensees</w:t>
    </w:r>
    <w:r w:rsidR="007C4DC0" w:rsidRPr="007C4DC0">
      <w:rPr>
        <w:rFonts w:ascii="Arial" w:hAnsi="Arial" w:cs="Arial"/>
        <w:sz w:val="18"/>
        <w:szCs w:val="18"/>
      </w:rPr>
      <w:t xml:space="preserve"> R</w:t>
    </w:r>
    <w:r w:rsidR="007C4DC0">
      <w:rPr>
        <w:rFonts w:ascii="Arial" w:hAnsi="Arial" w:cs="Arial"/>
        <w:sz w:val="18"/>
        <w:szCs w:val="18"/>
      </w:rPr>
      <w:t>ecognized</w:t>
    </w:r>
    <w:r w:rsidR="007C4DC0" w:rsidRPr="007C4DC0">
      <w:rPr>
        <w:rFonts w:ascii="Arial" w:hAnsi="Arial" w:cs="Arial"/>
        <w:sz w:val="18"/>
        <w:szCs w:val="18"/>
      </w:rPr>
      <w:t xml:space="preserve"> </w:t>
    </w:r>
    <w:r w:rsidR="007C4DC0">
      <w:rPr>
        <w:rFonts w:ascii="Arial" w:hAnsi="Arial" w:cs="Arial"/>
        <w:sz w:val="18"/>
        <w:szCs w:val="18"/>
      </w:rPr>
      <w:t xml:space="preserve">for </w:t>
    </w:r>
    <w:r w:rsidR="007C4DC0" w:rsidRPr="007C4DC0">
      <w:rPr>
        <w:rFonts w:ascii="Arial" w:hAnsi="Arial" w:cs="Arial"/>
        <w:sz w:val="18"/>
        <w:szCs w:val="18"/>
      </w:rPr>
      <w:t>S</w:t>
    </w:r>
    <w:r w:rsidR="007C4DC0">
      <w:rPr>
        <w:rFonts w:ascii="Arial" w:hAnsi="Arial" w:cs="Arial"/>
        <w:sz w:val="18"/>
        <w:szCs w:val="18"/>
      </w:rPr>
      <w:t>pecial</w:t>
    </w:r>
    <w:r w:rsidR="007C4DC0" w:rsidRPr="007C4DC0">
      <w:rPr>
        <w:rFonts w:ascii="Arial" w:hAnsi="Arial" w:cs="Arial"/>
        <w:sz w:val="18"/>
        <w:szCs w:val="18"/>
      </w:rPr>
      <w:t xml:space="preserve"> A</w:t>
    </w:r>
    <w:r w:rsidR="007C4DC0">
      <w:rPr>
        <w:rFonts w:ascii="Arial" w:hAnsi="Arial" w:cs="Arial"/>
        <w:sz w:val="18"/>
        <w:szCs w:val="18"/>
      </w:rPr>
      <w:t>chievements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3D" w:rsidRDefault="00842C3D">
      <w:r>
        <w:separator/>
      </w:r>
    </w:p>
  </w:footnote>
  <w:footnote w:type="continuationSeparator" w:id="0">
    <w:p w:rsidR="00842C3D" w:rsidRDefault="0084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289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542C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54D9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7A87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048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28A22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9061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6EF6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C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CA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2044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8A"/>
    <w:rsid w:val="000051AF"/>
    <w:rsid w:val="00010E25"/>
    <w:rsid w:val="000349D0"/>
    <w:rsid w:val="00044B1F"/>
    <w:rsid w:val="00045F93"/>
    <w:rsid w:val="00047DAB"/>
    <w:rsid w:val="00051F4C"/>
    <w:rsid w:val="00052302"/>
    <w:rsid w:val="000602C6"/>
    <w:rsid w:val="00071DE9"/>
    <w:rsid w:val="000776AC"/>
    <w:rsid w:val="0008035D"/>
    <w:rsid w:val="00082BF5"/>
    <w:rsid w:val="00096198"/>
    <w:rsid w:val="000A21D1"/>
    <w:rsid w:val="000C510B"/>
    <w:rsid w:val="000E23F9"/>
    <w:rsid w:val="00144BF4"/>
    <w:rsid w:val="00147AA5"/>
    <w:rsid w:val="001561D6"/>
    <w:rsid w:val="00167627"/>
    <w:rsid w:val="00176B8E"/>
    <w:rsid w:val="00183B7C"/>
    <w:rsid w:val="0019579E"/>
    <w:rsid w:val="001B343F"/>
    <w:rsid w:val="001B555D"/>
    <w:rsid w:val="001C2DE4"/>
    <w:rsid w:val="001E2440"/>
    <w:rsid w:val="001E3C19"/>
    <w:rsid w:val="001E3D10"/>
    <w:rsid w:val="002353EB"/>
    <w:rsid w:val="002563D6"/>
    <w:rsid w:val="002566F9"/>
    <w:rsid w:val="002673BC"/>
    <w:rsid w:val="00290708"/>
    <w:rsid w:val="002C3039"/>
    <w:rsid w:val="002D1859"/>
    <w:rsid w:val="002F0188"/>
    <w:rsid w:val="0030259B"/>
    <w:rsid w:val="003203CB"/>
    <w:rsid w:val="003369D4"/>
    <w:rsid w:val="00354C42"/>
    <w:rsid w:val="003A444C"/>
    <w:rsid w:val="003B4170"/>
    <w:rsid w:val="003B4C20"/>
    <w:rsid w:val="003B7FEB"/>
    <w:rsid w:val="003C37C0"/>
    <w:rsid w:val="003C74A8"/>
    <w:rsid w:val="003E14CF"/>
    <w:rsid w:val="003E1BBD"/>
    <w:rsid w:val="003F6B3C"/>
    <w:rsid w:val="004007DD"/>
    <w:rsid w:val="0042212C"/>
    <w:rsid w:val="004226FC"/>
    <w:rsid w:val="0043045A"/>
    <w:rsid w:val="00440785"/>
    <w:rsid w:val="00451223"/>
    <w:rsid w:val="00486664"/>
    <w:rsid w:val="00490D03"/>
    <w:rsid w:val="00492F54"/>
    <w:rsid w:val="00495C81"/>
    <w:rsid w:val="0049603B"/>
    <w:rsid w:val="004A370D"/>
    <w:rsid w:val="004B4A63"/>
    <w:rsid w:val="004B5B37"/>
    <w:rsid w:val="004D6BDB"/>
    <w:rsid w:val="004E2FC6"/>
    <w:rsid w:val="004E37AA"/>
    <w:rsid w:val="00542766"/>
    <w:rsid w:val="005446A2"/>
    <w:rsid w:val="00545C3B"/>
    <w:rsid w:val="0056697E"/>
    <w:rsid w:val="00577419"/>
    <w:rsid w:val="005B0024"/>
    <w:rsid w:val="005B2EFF"/>
    <w:rsid w:val="005B6A9C"/>
    <w:rsid w:val="005B70F7"/>
    <w:rsid w:val="005C580E"/>
    <w:rsid w:val="005D5F91"/>
    <w:rsid w:val="005E0946"/>
    <w:rsid w:val="005E3933"/>
    <w:rsid w:val="005E7335"/>
    <w:rsid w:val="005E77A3"/>
    <w:rsid w:val="005F3365"/>
    <w:rsid w:val="00600030"/>
    <w:rsid w:val="00614855"/>
    <w:rsid w:val="00615A9A"/>
    <w:rsid w:val="00615AD1"/>
    <w:rsid w:val="0062091E"/>
    <w:rsid w:val="006322F0"/>
    <w:rsid w:val="006365CA"/>
    <w:rsid w:val="006512AD"/>
    <w:rsid w:val="00663285"/>
    <w:rsid w:val="00664BFA"/>
    <w:rsid w:val="00665170"/>
    <w:rsid w:val="006751B1"/>
    <w:rsid w:val="0069714B"/>
    <w:rsid w:val="00697223"/>
    <w:rsid w:val="006B5137"/>
    <w:rsid w:val="00702706"/>
    <w:rsid w:val="007262A6"/>
    <w:rsid w:val="00760EB7"/>
    <w:rsid w:val="00761BEB"/>
    <w:rsid w:val="007A0538"/>
    <w:rsid w:val="007C48F2"/>
    <w:rsid w:val="007C4DC0"/>
    <w:rsid w:val="007C65EE"/>
    <w:rsid w:val="007D76FD"/>
    <w:rsid w:val="007E44DD"/>
    <w:rsid w:val="007F1E62"/>
    <w:rsid w:val="007F358E"/>
    <w:rsid w:val="0080057C"/>
    <w:rsid w:val="00803953"/>
    <w:rsid w:val="008115E1"/>
    <w:rsid w:val="008117AE"/>
    <w:rsid w:val="0083543B"/>
    <w:rsid w:val="00837096"/>
    <w:rsid w:val="00842C3D"/>
    <w:rsid w:val="008508CA"/>
    <w:rsid w:val="008640F1"/>
    <w:rsid w:val="00877858"/>
    <w:rsid w:val="00887970"/>
    <w:rsid w:val="008967AE"/>
    <w:rsid w:val="008A2E6D"/>
    <w:rsid w:val="008A659E"/>
    <w:rsid w:val="008B7A78"/>
    <w:rsid w:val="008C35B2"/>
    <w:rsid w:val="008D4E00"/>
    <w:rsid w:val="008E7DCA"/>
    <w:rsid w:val="008F567B"/>
    <w:rsid w:val="00925D5B"/>
    <w:rsid w:val="00935248"/>
    <w:rsid w:val="009363E0"/>
    <w:rsid w:val="009456EF"/>
    <w:rsid w:val="00960EB9"/>
    <w:rsid w:val="00973E37"/>
    <w:rsid w:val="009809A1"/>
    <w:rsid w:val="009941FA"/>
    <w:rsid w:val="009A3E45"/>
    <w:rsid w:val="009C03AA"/>
    <w:rsid w:val="009D4BC9"/>
    <w:rsid w:val="009E2AC6"/>
    <w:rsid w:val="009F4C89"/>
    <w:rsid w:val="009F5D87"/>
    <w:rsid w:val="00A07DFE"/>
    <w:rsid w:val="00A103F8"/>
    <w:rsid w:val="00A240E8"/>
    <w:rsid w:val="00A3712D"/>
    <w:rsid w:val="00A50F11"/>
    <w:rsid w:val="00A54F20"/>
    <w:rsid w:val="00A62520"/>
    <w:rsid w:val="00A66F51"/>
    <w:rsid w:val="00A805A1"/>
    <w:rsid w:val="00A97E3A"/>
    <w:rsid w:val="00AA1406"/>
    <w:rsid w:val="00AB0C63"/>
    <w:rsid w:val="00AD0D5D"/>
    <w:rsid w:val="00AE2F0C"/>
    <w:rsid w:val="00AE74E0"/>
    <w:rsid w:val="00AF52EB"/>
    <w:rsid w:val="00AF629A"/>
    <w:rsid w:val="00B0130C"/>
    <w:rsid w:val="00B172D0"/>
    <w:rsid w:val="00B177B3"/>
    <w:rsid w:val="00B218D3"/>
    <w:rsid w:val="00B23852"/>
    <w:rsid w:val="00B23D8A"/>
    <w:rsid w:val="00B36E77"/>
    <w:rsid w:val="00B40C1E"/>
    <w:rsid w:val="00B755E7"/>
    <w:rsid w:val="00B75822"/>
    <w:rsid w:val="00B76C31"/>
    <w:rsid w:val="00B801A7"/>
    <w:rsid w:val="00B803C3"/>
    <w:rsid w:val="00B93C68"/>
    <w:rsid w:val="00BA0DF5"/>
    <w:rsid w:val="00BA689B"/>
    <w:rsid w:val="00BB0ADB"/>
    <w:rsid w:val="00BC1AEB"/>
    <w:rsid w:val="00BC7983"/>
    <w:rsid w:val="00BD569C"/>
    <w:rsid w:val="00BF0BCF"/>
    <w:rsid w:val="00C14A3A"/>
    <w:rsid w:val="00C20E42"/>
    <w:rsid w:val="00C52046"/>
    <w:rsid w:val="00C5416D"/>
    <w:rsid w:val="00C549DD"/>
    <w:rsid w:val="00C807A5"/>
    <w:rsid w:val="00C86915"/>
    <w:rsid w:val="00C91DD9"/>
    <w:rsid w:val="00CA4EC1"/>
    <w:rsid w:val="00CB01BC"/>
    <w:rsid w:val="00D0569C"/>
    <w:rsid w:val="00D12A7A"/>
    <w:rsid w:val="00D132D3"/>
    <w:rsid w:val="00D15015"/>
    <w:rsid w:val="00D31B49"/>
    <w:rsid w:val="00D51280"/>
    <w:rsid w:val="00D63B92"/>
    <w:rsid w:val="00D73BF1"/>
    <w:rsid w:val="00D84591"/>
    <w:rsid w:val="00D97A3D"/>
    <w:rsid w:val="00DB155F"/>
    <w:rsid w:val="00DB3272"/>
    <w:rsid w:val="00DC6E20"/>
    <w:rsid w:val="00DE1573"/>
    <w:rsid w:val="00DE72C5"/>
    <w:rsid w:val="00E05AF0"/>
    <w:rsid w:val="00E154C6"/>
    <w:rsid w:val="00E27ACF"/>
    <w:rsid w:val="00E33493"/>
    <w:rsid w:val="00E33F16"/>
    <w:rsid w:val="00E34877"/>
    <w:rsid w:val="00E41AFE"/>
    <w:rsid w:val="00E57EF9"/>
    <w:rsid w:val="00E86D72"/>
    <w:rsid w:val="00E92EC8"/>
    <w:rsid w:val="00EA3428"/>
    <w:rsid w:val="00EC371E"/>
    <w:rsid w:val="00EC42DF"/>
    <w:rsid w:val="00ED2B66"/>
    <w:rsid w:val="00F0304B"/>
    <w:rsid w:val="00F17926"/>
    <w:rsid w:val="00F264B4"/>
    <w:rsid w:val="00F3392A"/>
    <w:rsid w:val="00F65E51"/>
    <w:rsid w:val="00F67685"/>
    <w:rsid w:val="00F8304D"/>
    <w:rsid w:val="00F92E3E"/>
    <w:rsid w:val="00FC1C67"/>
    <w:rsid w:val="00FC2544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9D12C-ECB1-4E46-8F3B-C0257F5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Book Antiqua" w:hAnsi="Book Antiqua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PageNumber">
    <w:name w:val="page number"/>
    <w:basedOn w:val="DefaultParagraphFont"/>
  </w:style>
  <w:style w:type="paragraph" w:customStyle="1" w:styleId="PRBody">
    <w:name w:val="PR Body"/>
    <w:basedOn w:val="BodyText"/>
    <w:rsid w:val="000B4519"/>
    <w:pPr>
      <w:spacing w:line="360" w:lineRule="auto"/>
      <w:ind w:firstLine="187"/>
    </w:pPr>
    <w:rPr>
      <w:sz w:val="23"/>
    </w:rPr>
  </w:style>
  <w:style w:type="paragraph" w:customStyle="1" w:styleId="PRHead">
    <w:name w:val="PR Head"/>
    <w:basedOn w:val="BodyText"/>
    <w:rsid w:val="00A36F27"/>
    <w:pPr>
      <w:jc w:val="center"/>
    </w:pPr>
    <w:rPr>
      <w:rFonts w:ascii="Arial" w:hAnsi="Arial" w:cs="Arial"/>
      <w:b/>
      <w:bCs/>
    </w:rPr>
  </w:style>
  <w:style w:type="paragraph" w:customStyle="1" w:styleId="PRImmediateRelease">
    <w:name w:val="PR Immediate Release"/>
    <w:basedOn w:val="Normal"/>
    <w:rsid w:val="00A36F27"/>
    <w:rPr>
      <w:rFonts w:ascii="Book Antiqua" w:hAnsi="Book Antiqua"/>
      <w:b/>
      <w:szCs w:val="20"/>
    </w:rPr>
  </w:style>
  <w:style w:type="paragraph" w:customStyle="1" w:styleId="PR">
    <w:name w:val="PR ####"/>
    <w:basedOn w:val="PRBody"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7F557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B3B51"/>
    <w:rPr>
      <w:rFonts w:ascii="Times" w:eastAsia="Times" w:hAnsi="Times"/>
      <w:sz w:val="24"/>
    </w:rPr>
  </w:style>
  <w:style w:type="character" w:customStyle="1" w:styleId="BodyTextChar">
    <w:name w:val="Body Text Char"/>
    <w:link w:val="BodyText"/>
    <w:rsid w:val="00FA0576"/>
    <w:rPr>
      <w:rFonts w:ascii="Book Antiqua" w:hAnsi="Book Antiq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92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2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44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tellmach@wilber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lbert.com/funeral-professiona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75BD-B623-4385-B13C-CA424B62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Wilbert Funeral Services </Company>
  <LinksUpToDate>false</LinksUpToDate>
  <CharactersWithSpaces>2405</CharactersWithSpaces>
  <SharedDoc>false</SharedDoc>
  <HLinks>
    <vt:vector size="12" baseType="variant"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http://www.wilbert.com/funeral-professionals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mailto:wstellmach@wilbert.com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Wilbert Licensees Recognized for Special Achievements</dc:title>
  <dc:subject/>
  <dc:creator>Wayne Stellmach</dc:creator>
  <cp:keywords>Greatest sales growth, lined burial vaults, cremation products</cp:keywords>
  <cp:lastModifiedBy>Wayne Stellmach</cp:lastModifiedBy>
  <cp:revision>3</cp:revision>
  <cp:lastPrinted>2011-10-14T14:45:00Z</cp:lastPrinted>
  <dcterms:created xsi:type="dcterms:W3CDTF">2017-02-08T20:29:00Z</dcterms:created>
  <dcterms:modified xsi:type="dcterms:W3CDTF">2017-02-14T19:33:00Z</dcterms:modified>
</cp:coreProperties>
</file>